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1FDF2692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74366F">
              <w:rPr>
                <w:rFonts w:cs="Arial"/>
                <w:color w:val="000000"/>
              </w:rPr>
            </w:r>
            <w:r w:rsidR="0074366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74366F">
              <w:rPr>
                <w:rFonts w:cs="Arial"/>
                <w:color w:val="000000"/>
                <w:sz w:val="16"/>
                <w:szCs w:val="16"/>
              </w:rPr>
            </w:r>
            <w:r w:rsidR="007436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43D5" w14:textId="77777777" w:rsidR="0074366F" w:rsidRDefault="0074366F">
      <w:r>
        <w:separator/>
      </w:r>
    </w:p>
    <w:p w14:paraId="268BFCAD" w14:textId="77777777" w:rsidR="0074366F" w:rsidRDefault="0074366F"/>
  </w:endnote>
  <w:endnote w:type="continuationSeparator" w:id="0">
    <w:p w14:paraId="56A7E8DF" w14:textId="77777777" w:rsidR="0074366F" w:rsidRDefault="0074366F">
      <w:r>
        <w:continuationSeparator/>
      </w:r>
    </w:p>
    <w:p w14:paraId="029DA355" w14:textId="77777777" w:rsidR="0074366F" w:rsidRDefault="00743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C76141E" w:rsidR="009210BF" w:rsidRDefault="0074366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4A63">
          <w:rPr>
            <w:sz w:val="16"/>
            <w:szCs w:val="16"/>
            <w:lang w:val="en-AU"/>
          </w:rPr>
          <w:t>EOM-ZO0-TP-000022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55CC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24A6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24A6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E646" w14:textId="77777777" w:rsidR="0074366F" w:rsidRDefault="0074366F">
      <w:r>
        <w:separator/>
      </w:r>
    </w:p>
    <w:p w14:paraId="0E08033E" w14:textId="77777777" w:rsidR="0074366F" w:rsidRDefault="0074366F"/>
  </w:footnote>
  <w:footnote w:type="continuationSeparator" w:id="0">
    <w:p w14:paraId="63CED52F" w14:textId="77777777" w:rsidR="0074366F" w:rsidRDefault="0074366F">
      <w:r>
        <w:continuationSeparator/>
      </w:r>
    </w:p>
    <w:p w14:paraId="10D558F3" w14:textId="77777777" w:rsidR="0074366F" w:rsidRDefault="00743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EE56453" w:rsidR="009210BF" w:rsidRDefault="00955CC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4F17A4D" wp14:editId="1E369582">
                <wp:simplePos x="0" y="0"/>
                <wp:positionH relativeFrom="column">
                  <wp:posOffset>-428625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82716C6" w:rsidR="009210BF" w:rsidRPr="006A25F8" w:rsidRDefault="00124A6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24A63">
            <w:rPr>
              <w:kern w:val="32"/>
              <w:sz w:val="24"/>
              <w:szCs w:val="24"/>
              <w:lang w:val="en-GB"/>
            </w:rPr>
            <w:t>Emergency Response Action Checklist - Mechanical Systems - Housing</w:t>
          </w:r>
        </w:p>
      </w:tc>
    </w:tr>
  </w:tbl>
  <w:p w14:paraId="0FE4F66F" w14:textId="1E04881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5F8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8EE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4A63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0A82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7A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66F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5CC8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87DD1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DFD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077D1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8ACD1-B3B3-4AC1-8B97-8D3E0567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34</TotalTime>
  <Pages>2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EOM-ZO0-TP-000022 Rev 001</dc:subject>
  <dc:creator>Rivamonte, Leonnito (RMP)</dc:creator>
  <cp:keywords>ᅟ</cp:keywords>
  <cp:lastModifiedBy>Jancil Saldhana</cp:lastModifiedBy>
  <cp:revision>57</cp:revision>
  <cp:lastPrinted>2017-10-17T10:11:00Z</cp:lastPrinted>
  <dcterms:created xsi:type="dcterms:W3CDTF">2019-12-16T06:44:00Z</dcterms:created>
  <dcterms:modified xsi:type="dcterms:W3CDTF">2021-08-20T12:33:00Z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